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3" w:rsidRPr="00043D0E" w:rsidRDefault="00560C53" w:rsidP="00560C53">
      <w:pPr>
        <w:spacing w:after="0" w:line="480" w:lineRule="auto"/>
        <w:jc w:val="both"/>
        <w:rPr>
          <w:rFonts w:eastAsia="Arial Unicode MS"/>
          <w:b/>
          <w:color w:val="000000"/>
          <w:shd w:val="clear" w:color="auto" w:fill="FFFFFF"/>
        </w:rPr>
      </w:pPr>
      <w:r>
        <w:rPr>
          <w:rFonts w:eastAsia="Arial Unicode MS"/>
          <w:b/>
          <w:color w:val="000000"/>
          <w:shd w:val="clear" w:color="auto" w:fill="FFFFFF"/>
        </w:rPr>
        <w:t>Tabla</w:t>
      </w:r>
      <w:r w:rsidRPr="00043D0E">
        <w:rPr>
          <w:rFonts w:eastAsia="Arial Unicode MS"/>
          <w:b/>
          <w:color w:val="000000"/>
          <w:shd w:val="clear" w:color="auto" w:fill="FFFFFF"/>
        </w:rPr>
        <w:t xml:space="preserve"> 4.</w:t>
      </w:r>
      <w:r>
        <w:rPr>
          <w:rFonts w:eastAsia="Arial Unicode MS"/>
          <w:b/>
          <w:color w:val="000000"/>
          <w:shd w:val="clear" w:color="auto" w:fill="FFFFFF"/>
        </w:rPr>
        <w:t xml:space="preserve"> </w:t>
      </w:r>
      <w:r w:rsidRPr="00043D0E">
        <w:rPr>
          <w:rFonts w:eastAsia="Arial Unicode MS"/>
          <w:b/>
          <w:color w:val="000000"/>
          <w:shd w:val="clear" w:color="auto" w:fill="FFFFFF"/>
        </w:rPr>
        <w:t xml:space="preserve">Medias de las diferencias entre los pares de valores obtenidos mediante las ecuaciones MDRD-4 IDMS y CKD-EPI, general, </w:t>
      </w:r>
      <w:r>
        <w:rPr>
          <w:rFonts w:eastAsia="Arial Unicode MS"/>
          <w:b/>
          <w:color w:val="000000"/>
          <w:shd w:val="clear" w:color="auto" w:fill="FFFFFF"/>
        </w:rPr>
        <w:t>por estadio G y por sexo (n=95)</w:t>
      </w:r>
    </w:p>
    <w:tbl>
      <w:tblPr>
        <w:tblW w:w="0" w:type="auto"/>
        <w:jc w:val="center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5"/>
        <w:gridCol w:w="1639"/>
        <w:gridCol w:w="1746"/>
        <w:gridCol w:w="1762"/>
      </w:tblGrid>
      <w:tr w:rsidR="00560C53" w:rsidRPr="006F19D6" w:rsidTr="008306F3">
        <w:trPr>
          <w:trHeight w:val="328"/>
          <w:jc w:val="center"/>
        </w:trPr>
        <w:tc>
          <w:tcPr>
            <w:tcW w:w="1275" w:type="dxa"/>
            <w:vMerge w:val="restart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highlight w:val="green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Estadio G</w:t>
            </w:r>
          </w:p>
        </w:tc>
        <w:tc>
          <w:tcPr>
            <w:tcW w:w="5147" w:type="dxa"/>
            <w:gridSpan w:val="3"/>
            <w:vAlign w:val="center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Diferencia media</w:t>
            </w:r>
          </w:p>
          <w:p w:rsidR="00560C53" w:rsidRPr="005445DE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(IC</w:t>
            </w:r>
            <w:r w:rsidRPr="0021423C">
              <w:rPr>
                <w:rFonts w:eastAsia="Arial Unicode MS" w:cs="Arial Unicode MS"/>
                <w:vertAlign w:val="subscript"/>
              </w:rPr>
              <w:t>95%</w:t>
            </w:r>
            <w:r w:rsidRPr="006F19D6">
              <w:rPr>
                <w:rFonts w:eastAsia="Arial Unicode MS" w:cs="Arial Unicode MS"/>
              </w:rPr>
              <w:t>)</w:t>
            </w:r>
          </w:p>
        </w:tc>
      </w:tr>
      <w:tr w:rsidR="00560C53" w:rsidRPr="006F19D6" w:rsidTr="008306F3">
        <w:trPr>
          <w:trHeight w:val="328"/>
          <w:jc w:val="center"/>
        </w:trPr>
        <w:tc>
          <w:tcPr>
            <w:tcW w:w="1275" w:type="dxa"/>
            <w:vMerge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Total</w:t>
            </w:r>
          </w:p>
        </w:tc>
        <w:tc>
          <w:tcPr>
            <w:tcW w:w="3508" w:type="dxa"/>
            <w:gridSpan w:val="2"/>
            <w:vAlign w:val="center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Sexo</w:t>
            </w:r>
          </w:p>
        </w:tc>
      </w:tr>
      <w:tr w:rsidR="00560C53" w:rsidRPr="006F19D6" w:rsidTr="008306F3">
        <w:trPr>
          <w:jc w:val="center"/>
        </w:trPr>
        <w:tc>
          <w:tcPr>
            <w:tcW w:w="1275" w:type="dxa"/>
            <w:vMerge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1639" w:type="dxa"/>
            <w:vMerge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</w:p>
        </w:tc>
        <w:tc>
          <w:tcPr>
            <w:tcW w:w="1746" w:type="dxa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Mujeres</w:t>
            </w:r>
          </w:p>
        </w:tc>
        <w:tc>
          <w:tcPr>
            <w:tcW w:w="1762" w:type="dxa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Varones</w:t>
            </w:r>
          </w:p>
        </w:tc>
      </w:tr>
      <w:tr w:rsidR="00560C53" w:rsidRPr="006F19D6" w:rsidTr="008306F3">
        <w:trPr>
          <w:jc w:val="center"/>
        </w:trPr>
        <w:tc>
          <w:tcPr>
            <w:tcW w:w="1275" w:type="dxa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General</w:t>
            </w:r>
          </w:p>
        </w:tc>
        <w:tc>
          <w:tcPr>
            <w:tcW w:w="1639" w:type="dxa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-12,76</w:t>
            </w:r>
          </w:p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</w:rPr>
              <w:t>-1,94 a -23,58)</w:t>
            </w:r>
          </w:p>
        </w:tc>
        <w:tc>
          <w:tcPr>
            <w:tcW w:w="1746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-13,54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</w:rPr>
              <w:t>-4,68 a -22,40</w:t>
            </w:r>
            <w:r w:rsidRPr="006F19D6">
              <w:rPr>
                <w:rFonts w:eastAsia="Arial Unicode MS" w:cs="Arial Unicode MS"/>
              </w:rPr>
              <w:t>)</w:t>
            </w:r>
          </w:p>
        </w:tc>
        <w:tc>
          <w:tcPr>
            <w:tcW w:w="1762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-9,39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</w:rPr>
              <w:t>6,09 a -24,87)</w:t>
            </w:r>
          </w:p>
        </w:tc>
      </w:tr>
      <w:tr w:rsidR="00560C53" w:rsidRPr="006F19D6" w:rsidTr="008306F3">
        <w:trPr>
          <w:jc w:val="center"/>
        </w:trPr>
        <w:tc>
          <w:tcPr>
            <w:tcW w:w="1275" w:type="dxa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G1</w:t>
            </w:r>
          </w:p>
        </w:tc>
        <w:tc>
          <w:tcPr>
            <w:tcW w:w="1639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-12,91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</w:rPr>
              <w:t>0,89 a -26,71)</w:t>
            </w:r>
          </w:p>
        </w:tc>
        <w:tc>
          <w:tcPr>
            <w:tcW w:w="1746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-13,91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  <w:color w:val="000000"/>
              </w:rPr>
              <w:t>-2,58 a -25,24)</w:t>
            </w:r>
          </w:p>
        </w:tc>
        <w:tc>
          <w:tcPr>
            <w:tcW w:w="1762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-8,82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</w:rPr>
              <w:t>11,09 a -28,73)</w:t>
            </w:r>
          </w:p>
        </w:tc>
      </w:tr>
      <w:tr w:rsidR="00560C53" w:rsidRPr="006F19D6" w:rsidTr="008306F3">
        <w:trPr>
          <w:jc w:val="center"/>
        </w:trPr>
        <w:tc>
          <w:tcPr>
            <w:tcW w:w="1275" w:type="dxa"/>
          </w:tcPr>
          <w:p w:rsidR="00560C53" w:rsidRPr="006F19D6" w:rsidRDefault="00560C53" w:rsidP="008306F3">
            <w:pPr>
              <w:widowControl w:val="0"/>
              <w:suppressAutoHyphens/>
              <w:autoSpaceDE w:val="0"/>
              <w:spacing w:after="0" w:line="240" w:lineRule="auto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  <w:color w:val="000000"/>
                <w:shd w:val="clear" w:color="auto" w:fill="FFFFFF"/>
              </w:rPr>
              <w:t>G2</w:t>
            </w:r>
          </w:p>
        </w:tc>
        <w:tc>
          <w:tcPr>
            <w:tcW w:w="1639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-12,68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hd w:val="clear" w:color="auto" w:fill="FFFFFF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</w:rPr>
              <w:t>-9,39 a -15,97)</w:t>
            </w:r>
          </w:p>
        </w:tc>
        <w:tc>
          <w:tcPr>
            <w:tcW w:w="1746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-13,03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  <w:color w:val="000000"/>
              </w:rPr>
              <w:t>-10,07 a -15,99)</w:t>
            </w:r>
          </w:p>
        </w:tc>
        <w:tc>
          <w:tcPr>
            <w:tcW w:w="1762" w:type="dxa"/>
          </w:tcPr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-10,83</w:t>
            </w:r>
          </w:p>
          <w:p w:rsidR="00560C53" w:rsidRPr="006F19D6" w:rsidRDefault="00560C53" w:rsidP="00830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 Unicode MS"/>
              </w:rPr>
            </w:pPr>
            <w:r w:rsidRPr="006F19D6">
              <w:rPr>
                <w:rFonts w:eastAsia="Arial Unicode MS" w:cs="Arial Unicode MS"/>
              </w:rPr>
              <w:t>(</w:t>
            </w:r>
            <w:r w:rsidRPr="006F19D6">
              <w:rPr>
                <w:rFonts w:cs="Arial"/>
                <w:color w:val="000000"/>
              </w:rPr>
              <w:t>-8,22 a -13,44)</w:t>
            </w:r>
          </w:p>
        </w:tc>
      </w:tr>
    </w:tbl>
    <w:p w:rsidR="00560C53" w:rsidRDefault="00560C53" w:rsidP="00560C53">
      <w:pPr>
        <w:autoSpaceDE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5445DE">
        <w:rPr>
          <w:rFonts w:cs="Arial"/>
          <w:sz w:val="20"/>
          <w:szCs w:val="20"/>
          <w:lang w:val="es-ES_tradnl"/>
        </w:rPr>
        <w:t>Nota: diferencias medias e IC</w:t>
      </w:r>
      <w:r w:rsidRPr="005445DE">
        <w:rPr>
          <w:rFonts w:cs="Arial"/>
          <w:sz w:val="20"/>
          <w:szCs w:val="20"/>
          <w:vertAlign w:val="subscript"/>
          <w:lang w:val="es-ES_tradnl"/>
        </w:rPr>
        <w:t>95%</w:t>
      </w:r>
      <w:r w:rsidRPr="005445DE">
        <w:rPr>
          <w:rFonts w:cs="Arial"/>
          <w:sz w:val="20"/>
          <w:szCs w:val="20"/>
          <w:lang w:val="es-ES_tradnl"/>
        </w:rPr>
        <w:t xml:space="preserve"> en </w:t>
      </w:r>
      <w:r w:rsidRPr="005445DE">
        <w:rPr>
          <w:rFonts w:eastAsia="Arial Unicode MS" w:cs="Arial Unicode MS"/>
          <w:sz w:val="20"/>
          <w:szCs w:val="20"/>
        </w:rPr>
        <w:t>mL/min/1,73 m</w:t>
      </w:r>
      <w:r w:rsidRPr="005445DE">
        <w:rPr>
          <w:rFonts w:eastAsia="Arial Unicode MS" w:cs="Arial Unicode MS"/>
          <w:sz w:val="20"/>
          <w:szCs w:val="20"/>
          <w:vertAlign w:val="superscript"/>
        </w:rPr>
        <w:t>2</w:t>
      </w:r>
      <w:r w:rsidRPr="005445DE">
        <w:rPr>
          <w:rFonts w:eastAsia="Arial Unicode MS" w:cs="Arial Unicode MS"/>
          <w:sz w:val="20"/>
          <w:szCs w:val="20"/>
        </w:rPr>
        <w:t xml:space="preserve">; </w:t>
      </w:r>
      <w:r w:rsidRPr="005445DE">
        <w:rPr>
          <w:rFonts w:asciiTheme="minorHAnsi" w:hAnsiTheme="minorHAnsi" w:cs="Arial"/>
          <w:sz w:val="20"/>
          <w:szCs w:val="20"/>
          <w:lang w:val="es-ES_tradnl"/>
        </w:rPr>
        <w:t xml:space="preserve">G1, TFG normal-alta </w:t>
      </w:r>
      <w:proofErr w:type="gramStart"/>
      <w:r w:rsidRPr="005445DE">
        <w:rPr>
          <w:rFonts w:asciiTheme="minorHAnsi" w:hAnsiTheme="minorHAnsi" w:cs="Arial"/>
          <w:sz w:val="20"/>
          <w:szCs w:val="20"/>
          <w:lang w:val="es-ES_tradnl"/>
        </w:rPr>
        <w:t>(</w:t>
      </w:r>
      <w:r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Pr="005445DE">
        <w:rPr>
          <w:rFonts w:asciiTheme="minorHAnsi" w:hAnsiTheme="minorHAnsi" w:cs="Arial"/>
          <w:sz w:val="20"/>
          <w:szCs w:val="20"/>
          <w:lang w:val="es-ES_tradnl"/>
        </w:rPr>
        <w:t>≥</w:t>
      </w:r>
      <w:proofErr w:type="gramEnd"/>
      <w:r w:rsidRPr="005445DE">
        <w:rPr>
          <w:rFonts w:asciiTheme="minorHAnsi" w:hAnsiTheme="minorHAnsi" w:cs="Arial"/>
          <w:sz w:val="20"/>
          <w:szCs w:val="20"/>
          <w:lang w:val="es-ES_tradnl"/>
        </w:rPr>
        <w:t>90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 xml:space="preserve"> 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5445DE">
        <w:rPr>
          <w:rFonts w:asciiTheme="minorHAnsi" w:hAnsiTheme="minorHAnsi" w:cs="Arial"/>
          <w:sz w:val="20"/>
          <w:szCs w:val="20"/>
          <w:lang w:val="es-ES_tradnl"/>
        </w:rPr>
        <w:t xml:space="preserve">); G2, disminución leve de TFG (60-89 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</w:rPr>
        <w:t>mL/min/1,73m</w:t>
      </w:r>
      <w:r w:rsidRPr="006A2B75">
        <w:rPr>
          <w:rFonts w:asciiTheme="minorHAnsi" w:eastAsia="Arial Unicode MS" w:hAnsiTheme="minorHAnsi" w:cs="Arial Unicode MS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5445DE">
        <w:rPr>
          <w:rFonts w:asciiTheme="minorHAnsi" w:hAnsiTheme="minorHAnsi" w:cs="Arial"/>
          <w:sz w:val="20"/>
          <w:szCs w:val="20"/>
          <w:lang w:val="es-ES_tradnl"/>
        </w:rPr>
        <w:t>)</w:t>
      </w:r>
      <w:r>
        <w:rPr>
          <w:rFonts w:asciiTheme="minorHAnsi" w:hAnsiTheme="minorHAnsi" w:cs="Arial"/>
          <w:sz w:val="20"/>
          <w:szCs w:val="20"/>
          <w:lang w:val="es-ES_tradnl"/>
        </w:rPr>
        <w:t>.</w:t>
      </w:r>
    </w:p>
    <w:p w:rsidR="00560C53" w:rsidRDefault="00560C53" w:rsidP="00560C53">
      <w:pPr>
        <w:autoSpaceDE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043D0E">
        <w:rPr>
          <w:rFonts w:cs="Arial"/>
          <w:sz w:val="20"/>
          <w:szCs w:val="20"/>
          <w:lang w:val="es-ES_tradnl"/>
        </w:rPr>
        <w:t>Fuente: Elaboración a partir de resultados propios del proyecto</w:t>
      </w:r>
      <w:r>
        <w:rPr>
          <w:rFonts w:cs="Arial"/>
          <w:sz w:val="20"/>
          <w:szCs w:val="20"/>
          <w:lang w:val="es-ES_tradnl"/>
        </w:rPr>
        <w:t>.</w:t>
      </w:r>
    </w:p>
    <w:p w:rsidR="00DE2CB5" w:rsidRPr="00560C53" w:rsidRDefault="00DE2CB5">
      <w:pPr>
        <w:rPr>
          <w:lang w:val="es-ES_tradnl"/>
        </w:rPr>
      </w:pPr>
    </w:p>
    <w:sectPr w:rsidR="00DE2CB5" w:rsidRPr="00560C53" w:rsidSect="00DE2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60C53"/>
    <w:rsid w:val="00560C53"/>
    <w:rsid w:val="00D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3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2016-08-08T19:28:00Z</dcterms:created>
  <dcterms:modified xsi:type="dcterms:W3CDTF">2016-08-08T19:28:00Z</dcterms:modified>
</cp:coreProperties>
</file>